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p>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p>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p>
    <w:p>
      <w:pPr>
        <w:shd w:val="clear" w:color="auto" w:fill="FFFFFF"/>
        <w:spacing w:after="0" w:line="240" w:lineRule="auto"/>
        <w:ind w:firstLine="397"/>
        <w:jc w:val="center"/>
        <w:rPr>
          <w:rFonts w:asciiTheme="minorHAnsi" w:eastAsia="Times New Roman" w:hAnsiTheme="minorHAnsi" w:cstheme="minorHAnsi"/>
          <w:b/>
          <w:color w:val="202122"/>
          <w:sz w:val="28"/>
          <w:szCs w:val="28"/>
          <w:lang w:eastAsia="pl-PL"/>
        </w:rPr>
      </w:pPr>
      <w:r>
        <w:rPr>
          <w:rFonts w:asciiTheme="minorHAnsi" w:eastAsia="Times New Roman" w:hAnsiTheme="minorHAnsi" w:cstheme="minorHAnsi"/>
          <w:b/>
          <w:color w:val="202122"/>
          <w:sz w:val="28"/>
          <w:szCs w:val="28"/>
          <w:lang w:eastAsia="pl-PL"/>
        </w:rPr>
        <w:t>KARTA PRACY 8</w:t>
      </w:r>
    </w:p>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p>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r>
        <w:rPr>
          <w:rFonts w:asciiTheme="minorHAnsi" w:eastAsia="Times New Roman" w:hAnsiTheme="minorHAnsi" w:cstheme="minorHAnsi"/>
          <w:color w:val="202122"/>
          <w:szCs w:val="24"/>
          <w:lang w:eastAsia="pl-PL"/>
        </w:rPr>
        <w:t>OBWIESZCZENIE O WPROWADZENIU STANU WOJENNEGO W POLSCE CZĘŚĆ 2</w:t>
      </w:r>
    </w:p>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p>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r>
        <w:rPr>
          <w:rFonts w:asciiTheme="minorHAnsi" w:eastAsia="Times New Roman" w:hAnsiTheme="minorHAnsi" w:cstheme="minorHAnsi"/>
          <w:color w:val="202122"/>
          <w:szCs w:val="24"/>
          <w:lang w:eastAsia="pl-PL"/>
        </w:rPr>
        <w:t>W czasie obowiązywania stanu wojennego, jeżeli będą tego wymagały interesy ochrony spokoju, ładu i porządku publicznego, uprawnione organy administracji państwowej mogą również: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
        <w:gridCol w:w="8770"/>
      </w:tblGrid>
      <w:tr>
        <w:trPr>
          <w:tblCellSpacing w:w="15" w:type="dxa"/>
        </w:trPr>
        <w:tc>
          <w:tcPr>
            <w:tcW w:w="300" w:type="dxa"/>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1)</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wprowadzić ograniczenia swobody poruszania się mieszkańców w określonym czasie i miejscach przez wprowadzenie godziny milicyjnej albo zakazu opuszczania lub przybywania do określonych województw, miast i gmin;</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2)</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nałożyć obowiązek uprzedniego uzyskiwania zezwolenia właściwego terenowego organu administracji państwowej na zmianę miejsca pobytu, polegającą na przeniesieniu się do innej miejscowości na czas dłuższy niż 48 godzin oraz obowiązek niezwłocznego zameldowania się w nowym miejscu pobytu;</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3)</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zawiesić działalność stowarzyszeń, związków zawodowych, zrzeszeń oraz organizacji społecznych i zawodowych, których działalność stanowi zagrożenie dla interesów bezpieczeństwa państwa, z wyjątkiem kościołów i związków wyznaniowych;</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4)</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wprowadzić cenzurę przesyłek pocztowych, korespondencji telekomunikacyjnej oraz kontrolę rozmów telefonicznych;</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5)</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zobowiązać posiadaczy radiowych urządzeń nadawczych i nadawczo-odbiorczych do złożenia tych urządzeń do depozytu we wskazanych miejscach;</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6)</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zobowiązać posiadaczy broni palnej krótkiej oraz myśliwskiej i sportowej, a także amunicji i materiałów wybuchowych do złożenia ich we wskazanych miejscach;</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7)</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zakazać dokonywania zdjęć fotograficznych i filmowych oraz obrazów telewizyjnych określonych obiektów i miejsc albo na określonych obszarach;</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8)</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zakazać używania określonych odznak i mundurów;</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9)</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wstrzymać lub ograniczyć pracę określonych urządzeń łączności oraz wykonywanie usług łączności pocztowej i telekomunikacyjnej;</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10)</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zawiesić lub ograniczyć przewóz osób i rzeczy w transporcie drogowym, kolejowym, lotniczym i wodnym oraz ruch pojazdów mechanicznych na drogach publicznych;</w:t>
            </w:r>
          </w:p>
        </w:tc>
      </w:tr>
      <w:tr>
        <w:trPr>
          <w:tblCellSpacing w:w="15" w:type="dxa"/>
        </w:trPr>
        <w:tc>
          <w:tcPr>
            <w:tcW w:w="0" w:type="auto"/>
            <w:hideMark/>
          </w:tcPr>
          <w:p>
            <w:pPr>
              <w:spacing w:after="0" w:line="240" w:lineRule="auto"/>
              <w:jc w:val="right"/>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11)</w:t>
            </w:r>
          </w:p>
        </w:tc>
        <w:tc>
          <w:tcPr>
            <w:tcW w:w="0" w:type="auto"/>
            <w:vAlign w:val="center"/>
            <w:hideMark/>
          </w:tcPr>
          <w:p>
            <w:pPr>
              <w:spacing w:after="0" w:line="240" w:lineRule="auto"/>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zamknąć lub ograniczyć graniczny ruch osobowy i towarowy przez przejścia graniczne.</w:t>
            </w:r>
          </w:p>
        </w:tc>
      </w:tr>
    </w:tbl>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r>
        <w:rPr>
          <w:rFonts w:asciiTheme="minorHAnsi" w:eastAsia="Times New Roman" w:hAnsiTheme="minorHAnsi" w:cstheme="minorHAnsi"/>
          <w:color w:val="202122"/>
          <w:szCs w:val="24"/>
          <w:lang w:eastAsia="pl-PL"/>
        </w:rPr>
        <w:t>W czasie obowiązywania stanu wojennego osoby naruszające wprowadzone zakazy, nakazy, obowiązki i ograniczenia podlegają obostrzonej odpowiedzialności karnej za przestępstwa lub wykroczenia w postępowaniu doraźnym i przyspieszonym.</w:t>
      </w:r>
    </w:p>
    <w:p>
      <w:pPr>
        <w:shd w:val="clear" w:color="auto" w:fill="FFFFFF"/>
        <w:spacing w:after="0" w:line="240" w:lineRule="auto"/>
        <w:ind w:firstLine="397"/>
        <w:jc w:val="both"/>
        <w:rPr>
          <w:rFonts w:asciiTheme="minorHAnsi" w:eastAsia="Times New Roman" w:hAnsiTheme="minorHAnsi" w:cstheme="minorHAnsi"/>
          <w:color w:val="202122"/>
          <w:szCs w:val="24"/>
          <w:lang w:eastAsia="pl-PL"/>
        </w:rPr>
      </w:pPr>
      <w:r>
        <w:rPr>
          <w:rFonts w:asciiTheme="minorHAnsi" w:eastAsia="Times New Roman" w:hAnsiTheme="minorHAnsi" w:cstheme="minorHAnsi"/>
          <w:color w:val="202122"/>
          <w:szCs w:val="24"/>
          <w:lang w:eastAsia="pl-PL"/>
        </w:rPr>
        <w:t>Osoby, mające ukończone lat 17, w stosunku do których istnieje uzasadnione podejrzenie, iż pozostając na wolności prowadzić będą działalność zagrażającą bezpieczeństwu państwa mogą być internowane w ośrodkach odosobnienia na czas obowiązywania stanu wojennego — na podstawie decyzji komendanta wojewódzkiego Milicji Obywatelskiej. (…)</w:t>
      </w:r>
    </w:p>
    <w:p>
      <w:pPr>
        <w:pStyle w:val="ListParagraph"/>
        <w:numPr>
          <w:ilvl w:val="0"/>
          <w:numId w:val="1"/>
        </w:numPr>
        <w:rPr>
          <w:b/>
        </w:rPr>
      </w:pPr>
      <w:bookmarkStart w:id="0" w:name="_GoBack"/>
      <w:r>
        <w:rPr>
          <w:b/>
        </w:rPr>
        <w:t>Jakie ograniczenia  zostały wprowadzone?</w:t>
      </w:r>
    </w:p>
    <w:p>
      <w:pPr>
        <w:pStyle w:val="ListParagraph"/>
        <w:numPr>
          <w:ilvl w:val="0"/>
          <w:numId w:val="1"/>
        </w:numPr>
        <w:rPr>
          <w:b/>
        </w:rPr>
      </w:pPr>
      <w:r>
        <w:rPr>
          <w:b/>
        </w:rPr>
        <w:t>Jakie nakazy zostały wprowadzone?</w:t>
      </w:r>
    </w:p>
    <w:p>
      <w:pPr>
        <w:pStyle w:val="ListParagraph"/>
        <w:numPr>
          <w:ilvl w:val="0"/>
          <w:numId w:val="1"/>
        </w:numPr>
        <w:rPr>
          <w:b/>
        </w:rPr>
      </w:pPr>
      <w:r>
        <w:rPr>
          <w:b/>
        </w:rPr>
        <w:t>Kto mógł zostać internowany i za co?</w:t>
      </w:r>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4EB3"/>
    <w:multiLevelType w:val="hybridMultilevel"/>
    <w:tmpl w:val="81727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2295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Agnieszka Głodzik</cp:lastModifiedBy>
  <cp:revision>2</cp:revision>
  <dcterms:created xsi:type="dcterms:W3CDTF">2020-12-08T18:52:00Z</dcterms:created>
  <dcterms:modified xsi:type="dcterms:W3CDTF">2021-02-04T10:40:00Z</dcterms:modified>
</cp:coreProperties>
</file>